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3.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41"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diel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dashed) fit for growth under 30 (dark gray), 90 (light gray), 180 (purple), 300 (red), 600 together with 900 (orange) peak diel PAR µmol photons m−2s−1 when they were significantly different (ANOVA, p &lt; 0.05) from the pool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(dashed) fit for growth under 30 (dark gray), 90 (light gray), 180 (purple), 300 (red), 600 together with 900 (orange) peak diel PAR µmol photons m</w:t>
      </w:r>
      <w:r>
        <w:rPr>
          <w:vertAlign w:val="superscript"/>
        </w:rPr>
        <w:t xml:space="preserve">−2</w:t>
      </w:r>
      <w:r>
        <w:t xml:space="preserve">s</w:t>
      </w:r>
      <w:r>
        <w:rPr>
          <w:vertAlign w:val="superscript"/>
        </w:rPr>
        <w:t xml:space="preserve">−1</w:t>
      </w:r>
      <w:r>
        <w:t xml:space="preserve"> </w:t>
      </w:r>
      <w:r>
        <w:t xml:space="preserve">when they were significantly different (ANOVA,</w:t>
      </w:r>
      <w:r>
        <w:t xml:space="preserve"> </w:t>
      </w:r>
      <w:r>
        <w:rPr>
          <w:iCs/>
          <w:i/>
        </w:rPr>
        <w:t xml:space="preserve">p</w:t>
      </w:r>
      <w:r>
        <w:t xml:space="preserve"> </w:t>
      </w:r>
      <w:r>
        <w:t xml:space="preserve">&lt; 0.05) from the pool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Figure represents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w:t>
      </w:r>
    </w:p>
    <w:p>
      <w:pPr>
        <w:pStyle w:val="CaptionedFigure"/>
      </w:pPr>
      <w:r>
        <w:drawing>
          <wp:inline>
            <wp:extent cx="5943600" cy="7429499"/>
            <wp:effectExtent b="0" l="0" r="0" t="0"/>
            <wp:docPr descr="Figure 4: Changes of cell-specific pigment content of two PhycoCyanin(PC)-rich cultures (056, 077) and two PhycoErythrin(PE)-rich cultures (048, 127) (Culture Collection of Baltic Algae) of Synechococcus sp. at selected cumulative diel µmol photons m−2d−1 over time (h). The vertical lines represent the time when the strains reached their maximum absolute hourly growth (tMaxAG)." title="" id="34" name="Picture"/>
            <a:graphic>
              <a:graphicData uri="http://schemas.openxmlformats.org/drawingml/2006/picture">
                <pic:pic>
                  <pic:nvPicPr>
                    <pic:cNvPr descr="../Output/Figures/SFig_Pigments.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Pigments"/>
      <w:bookmarkEnd w:id="36"/>
      <w:r>
        <w:t xml:space="preserve">Figure 4: Changes of cell-specific pigment content of two PhycoCyanin(PC)-rich cultures (056, 077) and two PhycoErythrin(PE)-rich cultures (048, 127) (Culture Collection of Baltic Algae)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p>
      <w:pPr>
        <w:pStyle w:val="CaptionedFigure"/>
      </w:pPr>
      <w:r>
        <w:drawing>
          <wp:inline>
            <wp:extent cx="5943600" cy="7429499"/>
            <wp:effectExtent b="0" l="0" r="0" t="0"/>
            <wp:docPr descr="Figure 5: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diel PAR µmol photons m−2s−1; and photoperiods of 8, 12, 16, or 24 h. Blue solid line shows linnear model fit." title="" id="38" name="Picture"/>
            <a:graphic>
              <a:graphicData uri="http://schemas.openxmlformats.org/drawingml/2006/picture">
                <pic:pic>
                  <pic:nvPicPr>
                    <pic:cNvPr descr="../Output/Figures/SFig_Sigma445.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Sigma445"/>
      <w:bookmarkEnd w:id="40"/>
      <w:r>
        <w:t xml:space="preserve">Figure 5: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linnear model fit.</w:t>
      </w:r>
    </w:p>
    <w:bookmarkEnd w:id="41"/>
    <w:sectPr w:rsidR="00F71E91">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B5961"/>
    <w:pPr>
      <w:spacing w:after="180" w:before="180" w:line="360" w:lineRule="auto"/>
      <w:jc w:val="both"/>
    </w:pPr>
    <w:rPr>
      <w:rFonts w:ascii="Times New Roman" w:hAnsi="Times New Roman"/>
    </w:rPr>
  </w:style>
  <w:style w:customStyle="1" w:styleId="FirstParagraph" w:type="paragraph">
    <w:name w:val="First Paragraph"/>
    <w:basedOn w:val="BodyText"/>
    <w:next w:val="BodyText"/>
    <w:qFormat/>
    <w:rsid w:val="008B5961"/>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Pages>
  <Words>588</Words>
  <Characters>3353</Characters>
  <Application>Microsoft Office Word</Application>
  <DocSecurity>0</DocSecurity>
  <Lines>27</Lines>
  <Paragraphs>7</Paragraphs>
  <ScaleCrop>false</ScaleCrop>
  <Company/>
  <LinksUpToDate>false</LinksUpToDate>
  <CharactersWithSpaces>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2024-01-22T20:11:24Z</dcterms:created>
  <dcterms:modified xsi:type="dcterms:W3CDTF">2024-01-22T20:11:24Z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